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DA" w:rsidRPr="003D6A9F" w:rsidRDefault="00C93DDA" w:rsidP="00DD39D6">
      <w:pPr>
        <w:spacing w:after="0" w:line="240" w:lineRule="auto"/>
        <w:rPr>
          <w:rFonts w:ascii="Times New Roman" w:hAnsi="Times New Roman" w:cs="Times New Roman"/>
          <w:sz w:val="16"/>
          <w:szCs w:val="16"/>
        </w:rPr>
      </w:pPr>
      <w:r w:rsidRPr="003D6A9F">
        <w:rPr>
          <w:rFonts w:ascii="Times New Roman" w:hAnsi="Times New Roman" w:cs="Times New Roman"/>
          <w:noProof/>
          <w:sz w:val="16"/>
          <w:szCs w:val="16"/>
          <w:lang w:eastAsia="fr-CA"/>
        </w:rPr>
        <w:drawing>
          <wp:anchor distT="0" distB="0" distL="114300" distR="114300" simplePos="0" relativeHeight="251659264" behindDoc="0" locked="0" layoutInCell="1" allowOverlap="1">
            <wp:simplePos x="0" y="0"/>
            <wp:positionH relativeFrom="column">
              <wp:posOffset>6350</wp:posOffset>
            </wp:positionH>
            <wp:positionV relativeFrom="paragraph">
              <wp:posOffset>-10160</wp:posOffset>
            </wp:positionV>
            <wp:extent cx="781685" cy="1219200"/>
            <wp:effectExtent l="19050" t="0" r="0" b="0"/>
            <wp:wrapTopAndBottom/>
            <wp:docPr id="1" name="Image 2" descr="CS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QN"/>
                    <pic:cNvPicPr preferRelativeResize="0">
                      <a:picLocks noChangeAspect="1" noChangeArrowheads="1"/>
                    </pic:cNvPicPr>
                  </pic:nvPicPr>
                  <pic:blipFill>
                    <a:blip r:embed="rId7" cstate="print"/>
                    <a:srcRect/>
                    <a:stretch>
                      <a:fillRect/>
                    </a:stretch>
                  </pic:blipFill>
                  <pic:spPr bwMode="auto">
                    <a:xfrm>
                      <a:off x="0" y="0"/>
                      <a:ext cx="781685" cy="1219200"/>
                    </a:xfrm>
                    <a:prstGeom prst="rect">
                      <a:avLst/>
                    </a:prstGeom>
                    <a:noFill/>
                  </pic:spPr>
                </pic:pic>
              </a:graphicData>
            </a:graphic>
          </wp:anchor>
        </w:drawing>
      </w:r>
    </w:p>
    <w:p w:rsidR="003D6A9F" w:rsidRPr="003D6A9F" w:rsidRDefault="003D6A9F" w:rsidP="003D6A9F">
      <w:pPr>
        <w:pBdr>
          <w:top w:val="single" w:sz="4" w:space="0" w:color="auto"/>
        </w:pBdr>
        <w:spacing w:after="0" w:line="240" w:lineRule="auto"/>
        <w:rPr>
          <w:rFonts w:ascii="Times New Roman" w:hAnsi="Times New Roman" w:cs="Times New Roman"/>
          <w:b/>
        </w:rPr>
      </w:pPr>
    </w:p>
    <w:p w:rsidR="00C93DDA" w:rsidRPr="00C93DDA" w:rsidRDefault="00C93DDA" w:rsidP="003D6A9F">
      <w:pPr>
        <w:pBdr>
          <w:top w:val="single" w:sz="4" w:space="0" w:color="auto"/>
        </w:pBdr>
        <w:spacing w:after="0" w:line="240" w:lineRule="auto"/>
        <w:rPr>
          <w:rFonts w:ascii="Times New Roman" w:hAnsi="Times New Roman" w:cs="Times New Roman"/>
          <w:b/>
          <w:sz w:val="32"/>
        </w:rPr>
      </w:pPr>
      <w:r w:rsidRPr="00C93DDA">
        <w:rPr>
          <w:rFonts w:ascii="Times New Roman" w:hAnsi="Times New Roman" w:cs="Times New Roman"/>
          <w:b/>
          <w:sz w:val="32"/>
        </w:rPr>
        <w:t>Comité pour la diversité sexuelle</w:t>
      </w:r>
    </w:p>
    <w:p w:rsidR="00C93DDA" w:rsidRPr="00DD39D6" w:rsidRDefault="00C93DDA" w:rsidP="00C93DD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93DDA" w:rsidRDefault="00C93DDA" w:rsidP="00C93DDA">
      <w:pPr>
        <w:spacing w:after="0" w:line="240" w:lineRule="auto"/>
        <w:rPr>
          <w:rFonts w:ascii="Times New Roman" w:hAnsi="Times New Roman" w:cs="Times New Roman"/>
          <w:sz w:val="24"/>
          <w:szCs w:val="24"/>
        </w:rPr>
      </w:pPr>
    </w:p>
    <w:p w:rsidR="00C93DDA" w:rsidRPr="00DD39D6" w:rsidRDefault="00C93DDA" w:rsidP="00DD39D6">
      <w:pPr>
        <w:spacing w:after="0" w:line="240" w:lineRule="auto"/>
        <w:rPr>
          <w:rFonts w:ascii="Times New Roman" w:hAnsi="Times New Roman" w:cs="Times New Roman"/>
          <w:sz w:val="24"/>
          <w:szCs w:val="24"/>
        </w:rPr>
      </w:pPr>
    </w:p>
    <w:p w:rsidR="002A4BFC" w:rsidRPr="002A4BFC" w:rsidRDefault="002A4BFC" w:rsidP="002A4BFC">
      <w:pPr>
        <w:spacing w:after="0" w:line="240" w:lineRule="auto"/>
        <w:jc w:val="center"/>
        <w:rPr>
          <w:rFonts w:ascii="Times New Roman" w:hAnsi="Times New Roman" w:cs="Times New Roman"/>
          <w:sz w:val="56"/>
          <w:szCs w:val="56"/>
        </w:rPr>
      </w:pPr>
      <w:r>
        <w:rPr>
          <w:rFonts w:ascii="Times New Roman" w:hAnsi="Times New Roman" w:cs="Times New Roman"/>
          <w:b/>
          <w:sz w:val="56"/>
          <w:szCs w:val="56"/>
        </w:rPr>
        <w:t>Jeu questionnaire - v</w:t>
      </w:r>
      <w:r w:rsidRPr="002A4BFC">
        <w:rPr>
          <w:rFonts w:ascii="Times New Roman" w:hAnsi="Times New Roman" w:cs="Times New Roman"/>
          <w:b/>
          <w:sz w:val="56"/>
          <w:szCs w:val="56"/>
        </w:rPr>
        <w:t>rai ou faux</w:t>
      </w:r>
    </w:p>
    <w:p w:rsidR="002A4BFC" w:rsidRPr="002A4BFC" w:rsidRDefault="002A4BFC" w:rsidP="002A4BFC">
      <w:pPr>
        <w:spacing w:after="0" w:line="240" w:lineRule="auto"/>
        <w:rPr>
          <w:rFonts w:ascii="Times New Roman" w:hAnsi="Times New Roman" w:cs="Times New Roman"/>
          <w:sz w:val="24"/>
          <w:szCs w:val="24"/>
        </w:rPr>
      </w:pPr>
    </w:p>
    <w:p w:rsidR="002A4BFC" w:rsidRPr="002A4BFC" w:rsidRDefault="002A4BFC" w:rsidP="002A4BFC">
      <w:pPr>
        <w:spacing w:after="0" w:line="240" w:lineRule="auto"/>
        <w:jc w:val="center"/>
        <w:rPr>
          <w:rFonts w:ascii="Times New Roman" w:hAnsi="Times New Roman" w:cs="Times New Roman"/>
          <w:b/>
          <w:sz w:val="56"/>
          <w:szCs w:val="56"/>
        </w:rPr>
      </w:pPr>
      <w:r w:rsidRPr="002A4BFC">
        <w:rPr>
          <w:rFonts w:ascii="Times New Roman" w:hAnsi="Times New Roman" w:cs="Times New Roman"/>
          <w:b/>
          <w:sz w:val="56"/>
          <w:szCs w:val="56"/>
        </w:rPr>
        <w:t xml:space="preserve">Affiche : « </w:t>
      </w:r>
      <w:r w:rsidRPr="002A4BFC">
        <w:rPr>
          <w:rFonts w:ascii="Times New Roman" w:hAnsi="Times New Roman" w:cs="Times New Roman"/>
          <w:b/>
          <w:i/>
          <w:sz w:val="56"/>
          <w:szCs w:val="56"/>
        </w:rPr>
        <w:t>Tout comme moi</w:t>
      </w:r>
      <w:r w:rsidRPr="002A4BFC">
        <w:rPr>
          <w:rFonts w:ascii="Times New Roman" w:hAnsi="Times New Roman" w:cs="Times New Roman"/>
          <w:b/>
          <w:sz w:val="56"/>
          <w:szCs w:val="56"/>
        </w:rPr>
        <w:t xml:space="preserve"> »</w:t>
      </w:r>
    </w:p>
    <w:p w:rsidR="002A4BFC" w:rsidRDefault="002A4BFC" w:rsidP="002A4BFC">
      <w:pPr>
        <w:spacing w:after="0" w:line="240" w:lineRule="auto"/>
        <w:rPr>
          <w:rFonts w:ascii="Times New Roman" w:hAnsi="Times New Roman" w:cs="Times New Roman"/>
          <w:sz w:val="24"/>
          <w:szCs w:val="24"/>
        </w:rPr>
      </w:pPr>
    </w:p>
    <w:p w:rsidR="003D6A9F" w:rsidRDefault="003D6A9F" w:rsidP="002A4BFC">
      <w:pPr>
        <w:spacing w:after="0" w:line="240" w:lineRule="auto"/>
        <w:rPr>
          <w:rFonts w:ascii="Times New Roman" w:hAnsi="Times New Roman" w:cs="Times New Roman"/>
          <w:sz w:val="24"/>
          <w:szCs w:val="24"/>
        </w:rPr>
      </w:pPr>
    </w:p>
    <w:tbl>
      <w:tblPr>
        <w:tblStyle w:val="Grilledutableau"/>
        <w:tblW w:w="0" w:type="auto"/>
        <w:tblLook w:val="04A0"/>
      </w:tblPr>
      <w:tblGrid>
        <w:gridCol w:w="7338"/>
        <w:gridCol w:w="1442"/>
      </w:tblGrid>
      <w:tr w:rsidR="003D6A9F" w:rsidTr="003D6A9F">
        <w:tc>
          <w:tcPr>
            <w:tcW w:w="7338" w:type="dxa"/>
          </w:tcPr>
          <w:p w:rsidR="003D6A9F" w:rsidRPr="002A4BFC" w:rsidRDefault="003D6A9F" w:rsidP="008A7FE7">
            <w:pPr>
              <w:spacing w:before="120" w:after="120"/>
              <w:jc w:val="both"/>
              <w:rPr>
                <w:rFonts w:ascii="Times New Roman" w:hAnsi="Times New Roman" w:cs="Times New Roman"/>
                <w:b/>
                <w:i/>
              </w:rPr>
            </w:pPr>
            <w:r w:rsidRPr="002A4BFC">
              <w:rPr>
                <w:rFonts w:ascii="Times New Roman" w:hAnsi="Times New Roman" w:cs="Times New Roman"/>
                <w:b/>
                <w:i/>
              </w:rPr>
              <w:t>Les gais et les lesbiennes sont facilement identifiables ou reconnaissables.</w:t>
            </w:r>
          </w:p>
        </w:tc>
        <w:tc>
          <w:tcPr>
            <w:tcW w:w="1442" w:type="dxa"/>
          </w:tcPr>
          <w:p w:rsidR="003D6A9F" w:rsidRDefault="003D6A9F" w:rsidP="008A7FE7">
            <w:pPr>
              <w:spacing w:before="120" w:after="120"/>
              <w:rPr>
                <w:rFonts w:ascii="Times New Roman" w:hAnsi="Times New Roman" w:cs="Times New Roman"/>
                <w:sz w:val="24"/>
                <w:szCs w:val="24"/>
              </w:rPr>
            </w:pPr>
          </w:p>
        </w:tc>
      </w:tr>
      <w:tr w:rsidR="003D6A9F" w:rsidTr="003D6A9F">
        <w:tc>
          <w:tcPr>
            <w:tcW w:w="7338" w:type="dxa"/>
          </w:tcPr>
          <w:p w:rsidR="003D6A9F" w:rsidRPr="002A4BFC" w:rsidRDefault="003D6A9F" w:rsidP="008A7FE7">
            <w:pPr>
              <w:spacing w:before="120" w:after="120"/>
              <w:jc w:val="both"/>
              <w:rPr>
                <w:rFonts w:ascii="Times New Roman" w:hAnsi="Times New Roman" w:cs="Times New Roman"/>
                <w:b/>
                <w:i/>
              </w:rPr>
            </w:pPr>
            <w:r w:rsidRPr="002A4BFC">
              <w:rPr>
                <w:rFonts w:ascii="Times New Roman" w:hAnsi="Times New Roman" w:cs="Times New Roman"/>
                <w:b/>
                <w:i/>
              </w:rPr>
              <w:t>Je peux reconnaître un gai ou une lesbienne à première vue.</w:t>
            </w:r>
          </w:p>
        </w:tc>
        <w:tc>
          <w:tcPr>
            <w:tcW w:w="1442" w:type="dxa"/>
          </w:tcPr>
          <w:p w:rsidR="003D6A9F" w:rsidRDefault="003D6A9F" w:rsidP="008A7FE7">
            <w:pPr>
              <w:spacing w:before="120" w:after="120"/>
              <w:rPr>
                <w:rFonts w:ascii="Times New Roman" w:hAnsi="Times New Roman" w:cs="Times New Roman"/>
                <w:sz w:val="24"/>
                <w:szCs w:val="24"/>
              </w:rPr>
            </w:pPr>
          </w:p>
        </w:tc>
      </w:tr>
      <w:tr w:rsidR="003D6A9F" w:rsidTr="003D6A9F">
        <w:tc>
          <w:tcPr>
            <w:tcW w:w="7338" w:type="dxa"/>
          </w:tcPr>
          <w:p w:rsidR="003D6A9F" w:rsidRPr="002A4BFC" w:rsidRDefault="003D6A9F" w:rsidP="008A7FE7">
            <w:pPr>
              <w:spacing w:before="120" w:after="120"/>
              <w:jc w:val="both"/>
              <w:rPr>
                <w:rFonts w:ascii="Times New Roman" w:hAnsi="Times New Roman" w:cs="Times New Roman"/>
                <w:b/>
                <w:i/>
              </w:rPr>
            </w:pPr>
            <w:r w:rsidRPr="002A4BFC">
              <w:rPr>
                <w:rFonts w:ascii="Times New Roman" w:hAnsi="Times New Roman" w:cs="Times New Roman"/>
                <w:b/>
                <w:i/>
              </w:rPr>
              <w:t>Si  une personne homosexuelle me parle, elle va sûrement me faire des avances.</w:t>
            </w:r>
          </w:p>
        </w:tc>
        <w:tc>
          <w:tcPr>
            <w:tcW w:w="1442" w:type="dxa"/>
          </w:tcPr>
          <w:p w:rsidR="003D6A9F" w:rsidRDefault="003D6A9F" w:rsidP="008A7FE7">
            <w:pPr>
              <w:spacing w:before="120" w:after="120"/>
              <w:rPr>
                <w:rFonts w:ascii="Times New Roman" w:hAnsi="Times New Roman" w:cs="Times New Roman"/>
                <w:sz w:val="24"/>
                <w:szCs w:val="24"/>
              </w:rPr>
            </w:pPr>
          </w:p>
        </w:tc>
      </w:tr>
      <w:tr w:rsidR="003D6A9F" w:rsidTr="003D6A9F">
        <w:tc>
          <w:tcPr>
            <w:tcW w:w="7338" w:type="dxa"/>
          </w:tcPr>
          <w:p w:rsidR="003D6A9F" w:rsidRPr="002A4BFC" w:rsidRDefault="003D6A9F" w:rsidP="008A7FE7">
            <w:pPr>
              <w:spacing w:before="120" w:after="120"/>
              <w:jc w:val="both"/>
              <w:rPr>
                <w:rFonts w:ascii="Times New Roman" w:hAnsi="Times New Roman" w:cs="Times New Roman"/>
                <w:b/>
                <w:i/>
              </w:rPr>
            </w:pPr>
            <w:r w:rsidRPr="002A4BFC">
              <w:rPr>
                <w:rFonts w:ascii="Times New Roman" w:hAnsi="Times New Roman" w:cs="Times New Roman"/>
                <w:b/>
                <w:i/>
              </w:rPr>
              <w:t>Le fait de devenir ami avec un gai ou une lesbienne peut-être dangereux pour moi.</w:t>
            </w:r>
          </w:p>
        </w:tc>
        <w:tc>
          <w:tcPr>
            <w:tcW w:w="1442" w:type="dxa"/>
          </w:tcPr>
          <w:p w:rsidR="003D6A9F" w:rsidRDefault="003D6A9F" w:rsidP="008A7FE7">
            <w:pPr>
              <w:spacing w:before="120" w:after="120"/>
              <w:rPr>
                <w:rFonts w:ascii="Times New Roman" w:hAnsi="Times New Roman" w:cs="Times New Roman"/>
                <w:sz w:val="24"/>
                <w:szCs w:val="24"/>
              </w:rPr>
            </w:pPr>
          </w:p>
        </w:tc>
      </w:tr>
    </w:tbl>
    <w:p w:rsidR="003D6A9F" w:rsidRPr="003D6A9F" w:rsidRDefault="003D6A9F" w:rsidP="002A4BFC">
      <w:pPr>
        <w:spacing w:after="0" w:line="240" w:lineRule="auto"/>
        <w:rPr>
          <w:rFonts w:ascii="Times New Roman" w:hAnsi="Times New Roman" w:cs="Times New Roman"/>
          <w:sz w:val="24"/>
          <w:szCs w:val="24"/>
        </w:rPr>
      </w:pPr>
    </w:p>
    <w:p w:rsidR="002A4BFC" w:rsidRPr="003D6A9F" w:rsidRDefault="002A4BFC" w:rsidP="002A4BFC">
      <w:pPr>
        <w:spacing w:after="0" w:line="240" w:lineRule="auto"/>
        <w:rPr>
          <w:rFonts w:ascii="Times New Roman" w:hAnsi="Times New Roman" w:cs="Times New Roman"/>
          <w:sz w:val="24"/>
          <w:szCs w:val="24"/>
        </w:rPr>
      </w:pPr>
    </w:p>
    <w:p w:rsidR="003D6A9F" w:rsidRPr="003D6A9F" w:rsidRDefault="003D6A9F" w:rsidP="003D6A9F">
      <w:pPr>
        <w:spacing w:after="0" w:line="240" w:lineRule="auto"/>
        <w:jc w:val="both"/>
        <w:rPr>
          <w:rFonts w:ascii="Times New Roman" w:hAnsi="Times New Roman" w:cs="Times New Roman"/>
        </w:rPr>
      </w:pPr>
      <w:r>
        <w:rPr>
          <w:rFonts w:ascii="Times New Roman" w:hAnsi="Times New Roman" w:cs="Times New Roman"/>
        </w:rPr>
        <w:t>L’objectif de cette affiche</w:t>
      </w:r>
      <w:r w:rsidRPr="003D6A9F">
        <w:rPr>
          <w:rFonts w:ascii="Times New Roman" w:hAnsi="Times New Roman" w:cs="Times New Roman"/>
        </w:rPr>
        <w:t xml:space="preserve"> est de démystifier certains préjugés associés à l’homosexualité afin de lutter contre l’homophobie. </w:t>
      </w:r>
    </w:p>
    <w:p w:rsidR="003D6A9F" w:rsidRPr="003D6A9F" w:rsidRDefault="003D6A9F" w:rsidP="003D6A9F">
      <w:pPr>
        <w:pStyle w:val="Paragraphedeliste"/>
        <w:numPr>
          <w:ilvl w:val="0"/>
          <w:numId w:val="1"/>
        </w:numPr>
        <w:spacing w:after="60" w:line="240" w:lineRule="auto"/>
        <w:ind w:left="567" w:hanging="567"/>
        <w:jc w:val="both"/>
        <w:rPr>
          <w:rFonts w:ascii="Times New Roman" w:hAnsi="Times New Roman" w:cs="Times New Roman"/>
          <w:i/>
        </w:rPr>
      </w:pPr>
      <w:r w:rsidRPr="003D6A9F">
        <w:rPr>
          <w:rFonts w:ascii="Times New Roman" w:hAnsi="Times New Roman" w:cs="Times New Roman"/>
          <w:i/>
        </w:rPr>
        <w:t>Les gais et les lesbiennes sont facilement identifiables ou reconnaissables.</w:t>
      </w:r>
    </w:p>
    <w:p w:rsidR="003D6A9F" w:rsidRPr="003D6A9F" w:rsidRDefault="003D6A9F" w:rsidP="003D6A9F">
      <w:pPr>
        <w:pStyle w:val="Paragraphedeliste"/>
        <w:numPr>
          <w:ilvl w:val="0"/>
          <w:numId w:val="1"/>
        </w:numPr>
        <w:spacing w:after="60" w:line="240" w:lineRule="auto"/>
        <w:ind w:left="567" w:hanging="567"/>
        <w:jc w:val="both"/>
        <w:rPr>
          <w:rFonts w:ascii="Times New Roman" w:hAnsi="Times New Roman" w:cs="Times New Roman"/>
          <w:i/>
        </w:rPr>
      </w:pPr>
      <w:r w:rsidRPr="003D6A9F">
        <w:rPr>
          <w:rFonts w:ascii="Times New Roman" w:hAnsi="Times New Roman" w:cs="Times New Roman"/>
          <w:i/>
        </w:rPr>
        <w:t>Je peux reconnaître un gai ou une lesbienne à première vue.</w:t>
      </w:r>
    </w:p>
    <w:p w:rsidR="003D6A9F" w:rsidRPr="003D6A9F" w:rsidRDefault="003D6A9F" w:rsidP="003D6A9F">
      <w:pPr>
        <w:pStyle w:val="Paragraphedeliste"/>
        <w:numPr>
          <w:ilvl w:val="0"/>
          <w:numId w:val="1"/>
        </w:numPr>
        <w:spacing w:after="60" w:line="240" w:lineRule="auto"/>
        <w:ind w:left="567" w:hanging="567"/>
        <w:jc w:val="both"/>
        <w:rPr>
          <w:rFonts w:ascii="Times New Roman" w:hAnsi="Times New Roman" w:cs="Times New Roman"/>
          <w:i/>
        </w:rPr>
      </w:pPr>
      <w:r w:rsidRPr="003D6A9F">
        <w:rPr>
          <w:rFonts w:ascii="Times New Roman" w:hAnsi="Times New Roman" w:cs="Times New Roman"/>
          <w:i/>
        </w:rPr>
        <w:t>Si  une personne homosexuelle me parle, elle va sûrement me faire des avances.</w:t>
      </w:r>
    </w:p>
    <w:p w:rsidR="003D6A9F" w:rsidRPr="003D6A9F" w:rsidRDefault="003D6A9F" w:rsidP="003D6A9F">
      <w:pPr>
        <w:pStyle w:val="Paragraphedeliste"/>
        <w:numPr>
          <w:ilvl w:val="0"/>
          <w:numId w:val="1"/>
        </w:numPr>
        <w:spacing w:after="60" w:line="240" w:lineRule="auto"/>
        <w:ind w:left="567" w:hanging="567"/>
        <w:jc w:val="both"/>
        <w:rPr>
          <w:rFonts w:ascii="Times New Roman" w:hAnsi="Times New Roman" w:cs="Times New Roman"/>
          <w:i/>
        </w:rPr>
      </w:pPr>
      <w:r w:rsidRPr="003D6A9F">
        <w:rPr>
          <w:rFonts w:ascii="Times New Roman" w:hAnsi="Times New Roman" w:cs="Times New Roman"/>
          <w:i/>
        </w:rPr>
        <w:t>Le fait de devenir ami avec un gai ou une lesbienne peut-être dangereux pour moi.</w:t>
      </w:r>
    </w:p>
    <w:p w:rsidR="003D6A9F" w:rsidRPr="003D6A9F" w:rsidRDefault="003D6A9F" w:rsidP="003D6A9F">
      <w:pPr>
        <w:spacing w:after="0" w:line="240" w:lineRule="auto"/>
        <w:jc w:val="both"/>
        <w:rPr>
          <w:rFonts w:ascii="Times New Roman" w:hAnsi="Times New Roman" w:cs="Times New Roman"/>
        </w:rPr>
      </w:pPr>
    </w:p>
    <w:p w:rsidR="003D6A9F" w:rsidRPr="003D6A9F" w:rsidRDefault="003D6A9F" w:rsidP="003D6A9F">
      <w:pPr>
        <w:spacing w:after="0" w:line="240" w:lineRule="auto"/>
        <w:jc w:val="both"/>
        <w:rPr>
          <w:rFonts w:ascii="Times New Roman" w:hAnsi="Times New Roman" w:cs="Times New Roman"/>
        </w:rPr>
      </w:pPr>
      <w:r w:rsidRPr="003D6A9F">
        <w:rPr>
          <w:rFonts w:ascii="Times New Roman" w:hAnsi="Times New Roman" w:cs="Times New Roman"/>
        </w:rPr>
        <w:t>Sur cette affiche, vous trouverez dans chacune des images un jeune hétérosexuel, gai, lesbienne, b</w:t>
      </w:r>
      <w:r>
        <w:rPr>
          <w:rFonts w:ascii="Times New Roman" w:hAnsi="Times New Roman" w:cs="Times New Roman"/>
        </w:rPr>
        <w:t>isexuel ou transsexuel. Avec cette affiche</w:t>
      </w:r>
      <w:r w:rsidRPr="003D6A9F">
        <w:rPr>
          <w:rFonts w:ascii="Times New Roman" w:hAnsi="Times New Roman" w:cs="Times New Roman"/>
        </w:rPr>
        <w:t xml:space="preserve">, il est possible d’effectuer une activité pédagogique avec les jeunes. Est-ce qu’ils peuvent identifier sur l’affiche les jeunes qui sont gais, lesbiennes, bisexuels ou transsexuels (GLBT). Nous souhaitons que des échanges aient lieu entre les jeunes sur les différents préjugés. </w:t>
      </w:r>
    </w:p>
    <w:p w:rsidR="003D6A9F" w:rsidRPr="003D6A9F" w:rsidRDefault="003D6A9F" w:rsidP="003D6A9F">
      <w:pPr>
        <w:spacing w:after="0" w:line="240" w:lineRule="auto"/>
        <w:jc w:val="both"/>
        <w:rPr>
          <w:rFonts w:ascii="Times New Roman" w:hAnsi="Times New Roman" w:cs="Times New Roman"/>
        </w:rPr>
      </w:pPr>
    </w:p>
    <w:p w:rsidR="002A4BFC" w:rsidRPr="003D6A9F" w:rsidRDefault="003D6A9F" w:rsidP="003D6A9F">
      <w:pPr>
        <w:spacing w:after="0" w:line="240" w:lineRule="auto"/>
        <w:jc w:val="both"/>
        <w:rPr>
          <w:rFonts w:ascii="Times New Roman" w:hAnsi="Times New Roman" w:cs="Times New Roman"/>
        </w:rPr>
      </w:pPr>
      <w:r w:rsidRPr="003D6A9F">
        <w:rPr>
          <w:rFonts w:ascii="Times New Roman" w:hAnsi="Times New Roman" w:cs="Times New Roman"/>
        </w:rPr>
        <w:t>Vous pouvez terminer l’activité, en indiquant qu’il n’est pas important de savoir qui est GLBT, on doit s’attarder aux individus et non pas aux différences.</w:t>
      </w:r>
    </w:p>
    <w:p w:rsidR="003D6A9F" w:rsidRDefault="003D6A9F">
      <w:pPr>
        <w:rPr>
          <w:rFonts w:ascii="Times New Roman" w:hAnsi="Times New Roman" w:cs="Times New Roman"/>
          <w:sz w:val="24"/>
          <w:szCs w:val="24"/>
        </w:rPr>
      </w:pPr>
      <w:r>
        <w:rPr>
          <w:rFonts w:ascii="Times New Roman" w:hAnsi="Times New Roman" w:cs="Times New Roman"/>
          <w:sz w:val="24"/>
          <w:szCs w:val="24"/>
        </w:rPr>
        <w:br w:type="page"/>
      </w:r>
    </w:p>
    <w:p w:rsidR="00C93DDA" w:rsidRDefault="002A4BFC" w:rsidP="00C93DDA">
      <w:pPr>
        <w:spacing w:after="60" w:line="240" w:lineRule="auto"/>
        <w:jc w:val="both"/>
        <w:rPr>
          <w:rFonts w:ascii="Times New Roman" w:hAnsi="Times New Roman" w:cs="Times New Roman"/>
          <w:b/>
          <w:i/>
          <w:sz w:val="24"/>
          <w:szCs w:val="24"/>
        </w:rPr>
      </w:pPr>
      <w:r w:rsidRPr="00C93DDA">
        <w:rPr>
          <w:rFonts w:ascii="Times New Roman" w:hAnsi="Times New Roman" w:cs="Times New Roman"/>
          <w:b/>
          <w:i/>
          <w:sz w:val="24"/>
          <w:szCs w:val="24"/>
        </w:rPr>
        <w:lastRenderedPageBreak/>
        <w:t>Les gais et les lesbiennes sont facilement identifiables ou reconnaissables.</w:t>
      </w:r>
    </w:p>
    <w:p w:rsidR="002A4BFC" w:rsidRPr="00C93DDA" w:rsidRDefault="002A4BFC" w:rsidP="00C93DDA">
      <w:pPr>
        <w:spacing w:after="60" w:line="240" w:lineRule="auto"/>
        <w:jc w:val="both"/>
        <w:rPr>
          <w:rFonts w:ascii="Times New Roman" w:hAnsi="Times New Roman" w:cs="Times New Roman"/>
          <w:b/>
          <w:i/>
          <w:sz w:val="24"/>
          <w:szCs w:val="24"/>
        </w:rPr>
      </w:pPr>
      <w:r w:rsidRPr="00C93DDA">
        <w:rPr>
          <w:rFonts w:ascii="Times New Roman" w:hAnsi="Times New Roman" w:cs="Times New Roman"/>
          <w:b/>
          <w:sz w:val="24"/>
          <w:szCs w:val="24"/>
        </w:rPr>
        <w:t>Faux</w:t>
      </w:r>
    </w:p>
    <w:p w:rsidR="002A4BFC" w:rsidRPr="002A4BFC" w:rsidRDefault="002A4BFC" w:rsidP="002A4BFC">
      <w:pPr>
        <w:spacing w:after="0" w:line="240" w:lineRule="auto"/>
        <w:jc w:val="both"/>
        <w:rPr>
          <w:rFonts w:ascii="Times New Roman" w:hAnsi="Times New Roman" w:cs="Times New Roman"/>
        </w:rPr>
      </w:pPr>
      <w:r w:rsidRPr="002A4BFC">
        <w:rPr>
          <w:rFonts w:ascii="Times New Roman" w:hAnsi="Times New Roman" w:cs="Times New Roman"/>
        </w:rPr>
        <w:t>Plusieurs personnes ont tendance à associer l’homosexualité masculine à la féminité et l’homosexualité féminine à la masculinité. Il s’agit là de stéréotypes. Nous savons aujourd’hui sur la base de nombreuses études qu’il n’en va pas forcément ainsi, au contraire. En réalité, il n’y a pas de caractéristiques physiques, psychologiques, comportementales ou vestimentaires qui permettent assurément de distinguer les personnes homosexuelles des personnes hétérosexuelles. Si certains jeunes gais montrent des caractéristiques dites féminines, on peut le comprendre comme le résultat du processus d’étiquetage et d’auto-étiquetage qui assignent à la personne homosexuelle certaines façons d’être. Autrement dit, le jeune peut avoir lui-même intériorisée stéréotype qui constitue souvent le seul modèle accessible et s’affirme à travers celui-ci. Il faut prendre garde toutefois de généraliser ces stéréotypes à l’ensemble des jeunes gais et lesbiennes, car la plupart d’entre eux ne présentent aucune caractéristique qui nous permettrait de les distinguer des autres jeunes.</w:t>
      </w:r>
      <w:r w:rsidRPr="002A4BFC">
        <w:rPr>
          <w:rStyle w:val="Appelnotedebasdep"/>
          <w:rFonts w:ascii="Times New Roman" w:hAnsi="Times New Roman" w:cs="Times New Roman"/>
        </w:rPr>
        <w:footnoteReference w:id="1"/>
      </w:r>
    </w:p>
    <w:p w:rsidR="002A4BFC" w:rsidRPr="002A4BFC" w:rsidRDefault="002A4BFC" w:rsidP="002A4BFC">
      <w:pPr>
        <w:spacing w:after="0" w:line="240" w:lineRule="auto"/>
        <w:jc w:val="both"/>
        <w:rPr>
          <w:rFonts w:ascii="Times New Roman" w:hAnsi="Times New Roman" w:cs="Times New Roman"/>
        </w:rPr>
      </w:pPr>
    </w:p>
    <w:p w:rsidR="002A4BFC" w:rsidRPr="002A4BFC" w:rsidRDefault="002A4BFC" w:rsidP="002A4BFC">
      <w:pPr>
        <w:spacing w:after="0" w:line="240" w:lineRule="auto"/>
        <w:jc w:val="both"/>
        <w:rPr>
          <w:rFonts w:ascii="Times New Roman" w:hAnsi="Times New Roman" w:cs="Times New Roman"/>
        </w:rPr>
      </w:pPr>
      <w:r w:rsidRPr="002A4BFC">
        <w:rPr>
          <w:rFonts w:ascii="Times New Roman" w:hAnsi="Times New Roman" w:cs="Times New Roman"/>
        </w:rPr>
        <w:t>Les femmes masculines ou hommes efféminés sont hétérosexuels. Par ailleurs. La plupart des lesbiennes ou des hommes gais ne se distinguent pas du reste de la population tant au niveau physique que des vêtements ou du maniérisme. Il est donc clair que l’homosexualité n’est pas nécessairement une caractéristique visible de comportement.</w:t>
      </w:r>
      <w:r w:rsidRPr="002A4BFC">
        <w:rPr>
          <w:rStyle w:val="Appelnotedebasdep"/>
          <w:rFonts w:ascii="Times New Roman" w:hAnsi="Times New Roman" w:cs="Times New Roman"/>
        </w:rPr>
        <w:footnoteReference w:id="2"/>
      </w:r>
    </w:p>
    <w:p w:rsidR="002A4BFC" w:rsidRPr="002A4BFC" w:rsidRDefault="002A4BFC" w:rsidP="002A4BFC">
      <w:pPr>
        <w:spacing w:after="0" w:line="240" w:lineRule="auto"/>
        <w:jc w:val="both"/>
        <w:rPr>
          <w:rFonts w:ascii="Times New Roman" w:hAnsi="Times New Roman" w:cs="Times New Roman"/>
        </w:rPr>
      </w:pPr>
    </w:p>
    <w:p w:rsidR="00C93DDA" w:rsidRDefault="002A4BFC" w:rsidP="00C93DDA">
      <w:pPr>
        <w:spacing w:after="60" w:line="240" w:lineRule="auto"/>
        <w:jc w:val="both"/>
        <w:rPr>
          <w:rFonts w:ascii="Times New Roman" w:hAnsi="Times New Roman" w:cs="Times New Roman"/>
          <w:b/>
          <w:i/>
          <w:sz w:val="24"/>
          <w:szCs w:val="24"/>
        </w:rPr>
      </w:pPr>
      <w:r w:rsidRPr="00C93DDA">
        <w:rPr>
          <w:rFonts w:ascii="Times New Roman" w:hAnsi="Times New Roman" w:cs="Times New Roman"/>
          <w:b/>
          <w:i/>
          <w:sz w:val="24"/>
          <w:szCs w:val="24"/>
        </w:rPr>
        <w:t>Je peux reconnaître un gai ou une lesbienne à première vue</w:t>
      </w:r>
      <w:r w:rsidR="00C93DDA">
        <w:rPr>
          <w:rFonts w:ascii="Times New Roman" w:hAnsi="Times New Roman" w:cs="Times New Roman"/>
          <w:b/>
          <w:i/>
          <w:sz w:val="24"/>
          <w:szCs w:val="24"/>
        </w:rPr>
        <w:t>.</w:t>
      </w:r>
    </w:p>
    <w:p w:rsidR="002A4BFC" w:rsidRPr="00C93DDA" w:rsidRDefault="002A4BFC" w:rsidP="00C93DDA">
      <w:pPr>
        <w:spacing w:after="60" w:line="240" w:lineRule="auto"/>
        <w:jc w:val="both"/>
        <w:rPr>
          <w:rFonts w:ascii="Times New Roman" w:hAnsi="Times New Roman" w:cs="Times New Roman"/>
          <w:b/>
          <w:i/>
          <w:sz w:val="24"/>
          <w:szCs w:val="24"/>
        </w:rPr>
      </w:pPr>
      <w:r w:rsidRPr="00C93DDA">
        <w:rPr>
          <w:rFonts w:ascii="Times New Roman" w:hAnsi="Times New Roman" w:cs="Times New Roman"/>
          <w:b/>
          <w:sz w:val="24"/>
          <w:szCs w:val="24"/>
        </w:rPr>
        <w:t>Faux</w:t>
      </w:r>
    </w:p>
    <w:p w:rsidR="002A4BFC" w:rsidRPr="002A4BFC" w:rsidRDefault="002A4BFC" w:rsidP="002A4BFC">
      <w:pPr>
        <w:tabs>
          <w:tab w:val="left" w:pos="1701"/>
        </w:tabs>
        <w:spacing w:after="0" w:line="240" w:lineRule="auto"/>
        <w:jc w:val="both"/>
        <w:rPr>
          <w:rFonts w:ascii="Times New Roman" w:hAnsi="Times New Roman" w:cs="Times New Roman"/>
        </w:rPr>
      </w:pPr>
      <w:r w:rsidRPr="002A4BFC">
        <w:rPr>
          <w:rFonts w:ascii="Times New Roman" w:hAnsi="Times New Roman" w:cs="Times New Roman"/>
        </w:rPr>
        <w:t>Quelques garçons sont plus délicats ou quelques filles plus costaudes que d’autres, mais cela n’a rien à voir avec leur orientation sexuelle. Il y a toutes sortes d’homosexuels ou de lesbiennes : de costauds et de costaudes, des délicats et des délicates, des sportifs et des sportives, des intellectuels ou intellectuelles. Si tu crois être capable de les reconnaître, il est fort probable que tu fais erreur.</w:t>
      </w:r>
      <w:r w:rsidRPr="002A4BFC">
        <w:rPr>
          <w:rStyle w:val="Appelnotedebasdep"/>
          <w:rFonts w:ascii="Times New Roman" w:hAnsi="Times New Roman" w:cs="Times New Roman"/>
        </w:rPr>
        <w:footnoteReference w:id="3"/>
      </w:r>
    </w:p>
    <w:p w:rsidR="002A4BFC" w:rsidRPr="002A4BFC" w:rsidRDefault="002A4BFC" w:rsidP="002A4BFC">
      <w:pPr>
        <w:tabs>
          <w:tab w:val="left" w:pos="1701"/>
        </w:tabs>
        <w:spacing w:after="0" w:line="240" w:lineRule="auto"/>
        <w:jc w:val="both"/>
        <w:rPr>
          <w:rFonts w:ascii="Times New Roman" w:hAnsi="Times New Roman" w:cs="Times New Roman"/>
        </w:rPr>
      </w:pPr>
    </w:p>
    <w:p w:rsidR="00C93DDA" w:rsidRDefault="002A4BFC" w:rsidP="00C93DDA">
      <w:pPr>
        <w:spacing w:after="60" w:line="240" w:lineRule="auto"/>
        <w:jc w:val="both"/>
        <w:rPr>
          <w:rFonts w:ascii="Times New Roman" w:hAnsi="Times New Roman" w:cs="Times New Roman"/>
          <w:b/>
          <w:i/>
          <w:sz w:val="24"/>
          <w:szCs w:val="24"/>
        </w:rPr>
      </w:pPr>
      <w:r w:rsidRPr="00C93DDA">
        <w:rPr>
          <w:rFonts w:ascii="Times New Roman" w:hAnsi="Times New Roman" w:cs="Times New Roman"/>
          <w:b/>
          <w:i/>
          <w:sz w:val="24"/>
          <w:szCs w:val="24"/>
        </w:rPr>
        <w:t>Si  une personne homosexuelle me parle, elle va sûrement me faire des avances.</w:t>
      </w:r>
      <w:r w:rsidR="00C93DDA">
        <w:rPr>
          <w:rFonts w:ascii="Times New Roman" w:hAnsi="Times New Roman" w:cs="Times New Roman"/>
          <w:b/>
          <w:i/>
          <w:sz w:val="24"/>
          <w:szCs w:val="24"/>
        </w:rPr>
        <w:t xml:space="preserve"> </w:t>
      </w:r>
    </w:p>
    <w:p w:rsidR="002A4BFC" w:rsidRPr="00C93DDA" w:rsidRDefault="002A4BFC" w:rsidP="00C93DDA">
      <w:pPr>
        <w:spacing w:after="60" w:line="240" w:lineRule="auto"/>
        <w:jc w:val="both"/>
        <w:rPr>
          <w:rFonts w:ascii="Times New Roman" w:hAnsi="Times New Roman" w:cs="Times New Roman"/>
          <w:b/>
          <w:i/>
          <w:sz w:val="24"/>
          <w:szCs w:val="24"/>
        </w:rPr>
      </w:pPr>
      <w:r w:rsidRPr="00C93DDA">
        <w:rPr>
          <w:rFonts w:ascii="Times New Roman" w:hAnsi="Times New Roman" w:cs="Times New Roman"/>
          <w:b/>
          <w:sz w:val="24"/>
          <w:szCs w:val="24"/>
        </w:rPr>
        <w:t>Faux</w:t>
      </w:r>
    </w:p>
    <w:p w:rsidR="002A4BFC" w:rsidRPr="002A4BFC" w:rsidRDefault="002A4BFC" w:rsidP="002A4BFC">
      <w:pPr>
        <w:spacing w:after="0" w:line="240" w:lineRule="auto"/>
        <w:jc w:val="both"/>
        <w:rPr>
          <w:rFonts w:ascii="Times New Roman" w:hAnsi="Times New Roman" w:cs="Times New Roman"/>
        </w:rPr>
      </w:pPr>
      <w:r w:rsidRPr="002A4BFC">
        <w:rPr>
          <w:rFonts w:ascii="Times New Roman" w:hAnsi="Times New Roman" w:cs="Times New Roman"/>
        </w:rPr>
        <w:t>Les personnes homosexuelles ne sont pas des «maniaques sexuels». Elles ont, comme les hétérosexuels, des critères de sélection pour trouver un ou une partenaire. Le fait d’avoir de nombreux partenaires n’est pas exclusif à une orientation sexuelle.</w:t>
      </w:r>
      <w:r w:rsidRPr="002A4BFC">
        <w:rPr>
          <w:rStyle w:val="Appelnotedebasdep"/>
          <w:rFonts w:ascii="Times New Roman" w:hAnsi="Times New Roman" w:cs="Times New Roman"/>
        </w:rPr>
        <w:footnoteReference w:id="4"/>
      </w:r>
    </w:p>
    <w:p w:rsidR="002A4BFC" w:rsidRPr="002A4BFC" w:rsidRDefault="002A4BFC" w:rsidP="002A4BFC">
      <w:pPr>
        <w:spacing w:after="0" w:line="240" w:lineRule="auto"/>
        <w:jc w:val="both"/>
        <w:rPr>
          <w:rFonts w:ascii="Times New Roman" w:hAnsi="Times New Roman" w:cs="Times New Roman"/>
        </w:rPr>
      </w:pPr>
    </w:p>
    <w:p w:rsidR="002A4BFC" w:rsidRPr="00C93DDA" w:rsidRDefault="002A4BFC" w:rsidP="00C93DDA">
      <w:pPr>
        <w:spacing w:after="60" w:line="240" w:lineRule="auto"/>
        <w:jc w:val="both"/>
        <w:rPr>
          <w:rFonts w:ascii="Times New Roman" w:hAnsi="Times New Roman" w:cs="Times New Roman"/>
          <w:b/>
          <w:i/>
          <w:sz w:val="24"/>
          <w:szCs w:val="24"/>
        </w:rPr>
      </w:pPr>
      <w:r w:rsidRPr="00C93DDA">
        <w:rPr>
          <w:rFonts w:ascii="Times New Roman" w:hAnsi="Times New Roman" w:cs="Times New Roman"/>
          <w:b/>
          <w:i/>
          <w:sz w:val="24"/>
          <w:szCs w:val="24"/>
        </w:rPr>
        <w:t>Le fait de devenir ami avec un gai ou une lesbienne peut-être dangereux pour moi.</w:t>
      </w:r>
      <w:r w:rsidR="00C93DDA" w:rsidRPr="00C93DDA">
        <w:rPr>
          <w:rFonts w:ascii="Times New Roman" w:hAnsi="Times New Roman" w:cs="Times New Roman"/>
          <w:b/>
          <w:i/>
          <w:sz w:val="24"/>
          <w:szCs w:val="24"/>
        </w:rPr>
        <w:t xml:space="preserve"> </w:t>
      </w:r>
      <w:r w:rsidRPr="00C93DDA">
        <w:rPr>
          <w:rFonts w:ascii="Times New Roman" w:hAnsi="Times New Roman" w:cs="Times New Roman"/>
          <w:b/>
          <w:sz w:val="24"/>
          <w:szCs w:val="24"/>
        </w:rPr>
        <w:t>Faux</w:t>
      </w:r>
    </w:p>
    <w:p w:rsidR="00C66B98" w:rsidRPr="002A4BFC" w:rsidRDefault="002A4BFC" w:rsidP="002A4BFC">
      <w:pPr>
        <w:spacing w:after="0" w:line="240" w:lineRule="auto"/>
        <w:jc w:val="both"/>
        <w:rPr>
          <w:rFonts w:ascii="Times New Roman" w:hAnsi="Times New Roman" w:cs="Times New Roman"/>
        </w:rPr>
      </w:pPr>
      <w:r w:rsidRPr="002A4BFC">
        <w:rPr>
          <w:rFonts w:ascii="Times New Roman" w:hAnsi="Times New Roman" w:cs="Times New Roman"/>
        </w:rPr>
        <w:t>Généralement, les garçons hétérosexuels sont respectueux à l’endroit des filles et les filles hétérosexuelles le sont à l’endroit des garçons. Il en est ainsi pour les garçons homosexuels envers les autres garçons et les filles lesbiennes envers les autres filles.</w:t>
      </w:r>
      <w:r w:rsidRPr="002A4BFC">
        <w:rPr>
          <w:rStyle w:val="Appelnotedebasdep"/>
          <w:rFonts w:ascii="Times New Roman" w:hAnsi="Times New Roman" w:cs="Times New Roman"/>
        </w:rPr>
        <w:footnoteReference w:id="5"/>
      </w:r>
    </w:p>
    <w:sectPr w:rsidR="00C66B98" w:rsidRPr="002A4BFC" w:rsidSect="00C93DDA">
      <w:pgSz w:w="12240" w:h="15840"/>
      <w:pgMar w:top="1276"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FF7" w:rsidRDefault="00CD1FF7" w:rsidP="002A4BFC">
      <w:pPr>
        <w:spacing w:after="0" w:line="240" w:lineRule="auto"/>
      </w:pPr>
      <w:r>
        <w:separator/>
      </w:r>
    </w:p>
  </w:endnote>
  <w:endnote w:type="continuationSeparator" w:id="0">
    <w:p w:rsidR="00CD1FF7" w:rsidRDefault="00CD1FF7" w:rsidP="002A4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FF7" w:rsidRDefault="00CD1FF7" w:rsidP="002A4BFC">
      <w:pPr>
        <w:spacing w:after="0" w:line="240" w:lineRule="auto"/>
      </w:pPr>
      <w:r>
        <w:separator/>
      </w:r>
    </w:p>
  </w:footnote>
  <w:footnote w:type="continuationSeparator" w:id="0">
    <w:p w:rsidR="00CD1FF7" w:rsidRDefault="00CD1FF7" w:rsidP="002A4BFC">
      <w:pPr>
        <w:spacing w:after="0" w:line="240" w:lineRule="auto"/>
      </w:pPr>
      <w:r>
        <w:continuationSeparator/>
      </w:r>
    </w:p>
  </w:footnote>
  <w:footnote w:id="1">
    <w:p w:rsidR="002A4BFC" w:rsidRPr="00C93DDA" w:rsidRDefault="002A4BFC" w:rsidP="002A4BFC">
      <w:pPr>
        <w:pStyle w:val="Notedebasdepage"/>
        <w:tabs>
          <w:tab w:val="left" w:pos="284"/>
        </w:tabs>
        <w:ind w:left="284" w:hanging="284"/>
        <w:jc w:val="both"/>
        <w:rPr>
          <w:rFonts w:ascii="Times New Roman" w:hAnsi="Times New Roman" w:cs="Times New Roman"/>
        </w:rPr>
      </w:pPr>
      <w:r w:rsidRPr="00C93DDA">
        <w:rPr>
          <w:rStyle w:val="Appelnotedebasdep"/>
          <w:rFonts w:ascii="Times New Roman" w:hAnsi="Times New Roman" w:cs="Times New Roman"/>
        </w:rPr>
        <w:footnoteRef/>
      </w:r>
      <w:r w:rsidRPr="00C93DDA">
        <w:rPr>
          <w:rFonts w:ascii="Times New Roman" w:hAnsi="Times New Roman" w:cs="Times New Roman"/>
        </w:rPr>
        <w:t xml:space="preserve"> </w:t>
      </w:r>
      <w:r w:rsidRPr="00C93DDA">
        <w:rPr>
          <w:rFonts w:ascii="Times New Roman" w:hAnsi="Times New Roman" w:cs="Times New Roman"/>
        </w:rPr>
        <w:tab/>
      </w:r>
      <w:r w:rsidRPr="00C93DDA">
        <w:rPr>
          <w:rFonts w:ascii="Times New Roman" w:hAnsi="Times New Roman" w:cs="Times New Roman"/>
          <w:i/>
        </w:rPr>
        <w:t>Démystifier l’homosexualité, ça commence à l’école</w:t>
      </w:r>
      <w:r w:rsidRPr="00C93DDA">
        <w:rPr>
          <w:rFonts w:ascii="Times New Roman" w:hAnsi="Times New Roman" w:cs="Times New Roman"/>
        </w:rPr>
        <w:t>. Mieux comprendre l’homosexualité pour prévenir l’homophobie. Guide pédagogique. GRIS-Montréal, 2003. Pages 33.</w:t>
      </w:r>
    </w:p>
  </w:footnote>
  <w:footnote w:id="2">
    <w:p w:rsidR="002A4BFC" w:rsidRPr="00C93DDA" w:rsidRDefault="002A4BFC" w:rsidP="002A4BFC">
      <w:pPr>
        <w:pStyle w:val="Notedebasdepage"/>
        <w:tabs>
          <w:tab w:val="left" w:pos="284"/>
        </w:tabs>
        <w:ind w:left="284" w:hanging="284"/>
        <w:jc w:val="both"/>
        <w:rPr>
          <w:rFonts w:ascii="Times New Roman" w:hAnsi="Times New Roman" w:cs="Times New Roman"/>
        </w:rPr>
      </w:pPr>
      <w:r w:rsidRPr="00C93DDA">
        <w:rPr>
          <w:rStyle w:val="Appelnotedebasdep"/>
          <w:rFonts w:ascii="Times New Roman" w:hAnsi="Times New Roman" w:cs="Times New Roman"/>
        </w:rPr>
        <w:footnoteRef/>
      </w:r>
      <w:r w:rsidRPr="00C93DDA">
        <w:rPr>
          <w:rFonts w:ascii="Times New Roman" w:hAnsi="Times New Roman" w:cs="Times New Roman"/>
        </w:rPr>
        <w:t xml:space="preserve"> </w:t>
      </w:r>
      <w:r w:rsidRPr="00C93DDA">
        <w:rPr>
          <w:rFonts w:ascii="Times New Roman" w:hAnsi="Times New Roman" w:cs="Times New Roman"/>
        </w:rPr>
        <w:tab/>
      </w:r>
      <w:r w:rsidRPr="00C93DDA">
        <w:rPr>
          <w:rFonts w:ascii="Times New Roman" w:hAnsi="Times New Roman" w:cs="Times New Roman"/>
          <w:i/>
        </w:rPr>
        <w:t>Pour Agir… Recueil d’activités complémentaires</w:t>
      </w:r>
      <w:r w:rsidRPr="00C93DDA">
        <w:rPr>
          <w:rFonts w:ascii="Times New Roman" w:hAnsi="Times New Roman" w:cs="Times New Roman"/>
        </w:rPr>
        <w:t>. Pour une nouvelle vision de l’homosexualité. Coffret d’intervention sur l’orientation sexuelle pour les milieux jeunesse. Direction de santé publique. Régie régionale de la santé et des services sociaux de Montréal-centre. 2003. Pages 15</w:t>
      </w:r>
    </w:p>
  </w:footnote>
  <w:footnote w:id="3">
    <w:p w:rsidR="002A4BFC" w:rsidRPr="00C93DDA" w:rsidRDefault="002A4BFC" w:rsidP="002A4BFC">
      <w:pPr>
        <w:pStyle w:val="Notedebasdepage"/>
        <w:tabs>
          <w:tab w:val="left" w:pos="284"/>
        </w:tabs>
        <w:ind w:left="284" w:hanging="284"/>
        <w:jc w:val="both"/>
        <w:rPr>
          <w:rFonts w:ascii="Times New Roman" w:hAnsi="Times New Roman" w:cs="Times New Roman"/>
        </w:rPr>
      </w:pPr>
      <w:r w:rsidRPr="00C93DDA">
        <w:rPr>
          <w:rStyle w:val="Appelnotedebasdep"/>
          <w:rFonts w:ascii="Times New Roman" w:hAnsi="Times New Roman" w:cs="Times New Roman"/>
        </w:rPr>
        <w:footnoteRef/>
      </w:r>
      <w:r w:rsidRPr="00C93DDA">
        <w:rPr>
          <w:rFonts w:ascii="Times New Roman" w:hAnsi="Times New Roman" w:cs="Times New Roman"/>
        </w:rPr>
        <w:t xml:space="preserve"> </w:t>
      </w:r>
      <w:r w:rsidRPr="00C93DDA">
        <w:rPr>
          <w:rFonts w:ascii="Times New Roman" w:hAnsi="Times New Roman" w:cs="Times New Roman"/>
        </w:rPr>
        <w:tab/>
        <w:t xml:space="preserve">Guide d’animation de la DVD « </w:t>
      </w:r>
      <w:r w:rsidRPr="00C93DDA">
        <w:rPr>
          <w:rFonts w:ascii="Times New Roman" w:hAnsi="Times New Roman" w:cs="Times New Roman"/>
          <w:i/>
        </w:rPr>
        <w:t>Silence S.V.P.</w:t>
      </w:r>
      <w:r w:rsidRPr="00C93DDA">
        <w:rPr>
          <w:rFonts w:ascii="Times New Roman" w:hAnsi="Times New Roman" w:cs="Times New Roman"/>
        </w:rPr>
        <w:t xml:space="preserve"> », produit par la Centrale des syndicats du Québec, 2007</w:t>
      </w:r>
    </w:p>
  </w:footnote>
  <w:footnote w:id="4">
    <w:p w:rsidR="002A4BFC" w:rsidRPr="00C93DDA" w:rsidRDefault="002A4BFC" w:rsidP="002A4BFC">
      <w:pPr>
        <w:pStyle w:val="Notedebasdepage"/>
        <w:tabs>
          <w:tab w:val="left" w:pos="284"/>
        </w:tabs>
        <w:ind w:left="284" w:hanging="284"/>
        <w:rPr>
          <w:rFonts w:ascii="Times New Roman" w:hAnsi="Times New Roman" w:cs="Times New Roman"/>
        </w:rPr>
      </w:pPr>
      <w:r w:rsidRPr="00C93DDA">
        <w:rPr>
          <w:rStyle w:val="Appelnotedebasdep"/>
          <w:rFonts w:ascii="Times New Roman" w:hAnsi="Times New Roman" w:cs="Times New Roman"/>
        </w:rPr>
        <w:footnoteRef/>
      </w:r>
      <w:r w:rsidRPr="00C93DDA">
        <w:rPr>
          <w:rFonts w:ascii="Times New Roman" w:hAnsi="Times New Roman" w:cs="Times New Roman"/>
        </w:rPr>
        <w:t xml:space="preserve"> </w:t>
      </w:r>
      <w:r w:rsidRPr="00C93DDA">
        <w:rPr>
          <w:rFonts w:ascii="Times New Roman" w:hAnsi="Times New Roman" w:cs="Times New Roman"/>
        </w:rPr>
        <w:tab/>
      </w:r>
      <w:r w:rsidRPr="00C93DDA">
        <w:rPr>
          <w:rFonts w:ascii="Times New Roman" w:hAnsi="Times New Roman" w:cs="Times New Roman"/>
          <w:i/>
        </w:rPr>
        <w:t>Pour Agir… Recueil d’activités complémentaires</w:t>
      </w:r>
      <w:r w:rsidRPr="00C93DDA">
        <w:rPr>
          <w:rFonts w:ascii="Times New Roman" w:hAnsi="Times New Roman" w:cs="Times New Roman"/>
        </w:rPr>
        <w:t>. Pour une nouvelle vision de l’homosexualité. Coffret d’intervention sur l’orientation sexuelle pour les milieux jeunesse. Direction de santé publique. Régie régionale de la santé et des services sociaux de Montréal-centre. 2003. Pages 15</w:t>
      </w:r>
    </w:p>
  </w:footnote>
  <w:footnote w:id="5">
    <w:p w:rsidR="002A4BFC" w:rsidRDefault="002A4BFC" w:rsidP="002A4BFC">
      <w:pPr>
        <w:pStyle w:val="Notedebasdepage"/>
        <w:tabs>
          <w:tab w:val="left" w:pos="284"/>
        </w:tabs>
        <w:ind w:left="284" w:hanging="284"/>
        <w:rPr>
          <w:rFonts w:ascii="Arial" w:hAnsi="Arial" w:cs="Arial"/>
        </w:rPr>
      </w:pPr>
      <w:r w:rsidRPr="00C93DDA">
        <w:rPr>
          <w:rStyle w:val="Appelnotedebasdep"/>
          <w:rFonts w:ascii="Times New Roman" w:hAnsi="Times New Roman" w:cs="Times New Roman"/>
        </w:rPr>
        <w:footnoteRef/>
      </w:r>
      <w:r w:rsidRPr="00C93DDA">
        <w:rPr>
          <w:rFonts w:ascii="Times New Roman" w:hAnsi="Times New Roman" w:cs="Times New Roman"/>
        </w:rPr>
        <w:t xml:space="preserve"> </w:t>
      </w:r>
      <w:r w:rsidRPr="00C93DDA">
        <w:rPr>
          <w:rFonts w:ascii="Times New Roman" w:hAnsi="Times New Roman" w:cs="Times New Roman"/>
        </w:rPr>
        <w:tab/>
        <w:t xml:space="preserve">Guide d’animation de la DVD « </w:t>
      </w:r>
      <w:r w:rsidRPr="00C93DDA">
        <w:rPr>
          <w:rFonts w:ascii="Times New Roman" w:hAnsi="Times New Roman" w:cs="Times New Roman"/>
          <w:i/>
        </w:rPr>
        <w:t>Silence S.V.P.</w:t>
      </w:r>
      <w:r w:rsidRPr="00C93DDA">
        <w:rPr>
          <w:rFonts w:ascii="Times New Roman" w:hAnsi="Times New Roman" w:cs="Times New Roman"/>
        </w:rPr>
        <w:t xml:space="preserve"> », produit par la Centrale des syndicats du Québec,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B3E9D"/>
    <w:multiLevelType w:val="hybridMultilevel"/>
    <w:tmpl w:val="7A8A6FD8"/>
    <w:lvl w:ilvl="0" w:tplc="0C0C000D">
      <w:start w:val="1"/>
      <w:numFmt w:val="bullet"/>
      <w:lvlText w:val=""/>
      <w:lvlJc w:val="left"/>
      <w:pPr>
        <w:ind w:left="2055"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2A4BFC"/>
    <w:rsid w:val="00072004"/>
    <w:rsid w:val="002705DE"/>
    <w:rsid w:val="002A4BFC"/>
    <w:rsid w:val="002D2E76"/>
    <w:rsid w:val="003B746C"/>
    <w:rsid w:val="003D6A9F"/>
    <w:rsid w:val="00661C4E"/>
    <w:rsid w:val="006A5B69"/>
    <w:rsid w:val="007B7076"/>
    <w:rsid w:val="00C27848"/>
    <w:rsid w:val="00C66B98"/>
    <w:rsid w:val="00C93DDA"/>
    <w:rsid w:val="00CD1FF7"/>
    <w:rsid w:val="00DD39D6"/>
    <w:rsid w:val="00EE096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A4B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4BFC"/>
    <w:rPr>
      <w:sz w:val="20"/>
      <w:szCs w:val="20"/>
    </w:rPr>
  </w:style>
  <w:style w:type="character" w:styleId="Appelnotedebasdep">
    <w:name w:val="footnote reference"/>
    <w:basedOn w:val="Policepardfaut"/>
    <w:uiPriority w:val="99"/>
    <w:semiHidden/>
    <w:unhideWhenUsed/>
    <w:rsid w:val="002A4BFC"/>
    <w:rPr>
      <w:vertAlign w:val="superscript"/>
    </w:rPr>
  </w:style>
  <w:style w:type="table" w:styleId="Grilledutableau">
    <w:name w:val="Table Grid"/>
    <w:basedOn w:val="TableauNormal"/>
    <w:uiPriority w:val="59"/>
    <w:rsid w:val="002A4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6A9F"/>
    <w:pPr>
      <w:ind w:left="720"/>
      <w:contextualSpacing/>
    </w:pPr>
  </w:style>
</w:styles>
</file>

<file path=word/webSettings.xml><?xml version="1.0" encoding="utf-8"?>
<w:webSettings xmlns:r="http://schemas.openxmlformats.org/officeDocument/2006/relationships" xmlns:w="http://schemas.openxmlformats.org/wordprocessingml/2006/main">
  <w:divs>
    <w:div w:id="385109581">
      <w:bodyDiv w:val="1"/>
      <w:marLeft w:val="0"/>
      <w:marRight w:val="0"/>
      <w:marTop w:val="0"/>
      <w:marBottom w:val="0"/>
      <w:divBdr>
        <w:top w:val="none" w:sz="0" w:space="0" w:color="auto"/>
        <w:left w:val="none" w:sz="0" w:space="0" w:color="auto"/>
        <w:bottom w:val="none" w:sz="0" w:space="0" w:color="auto"/>
        <w:right w:val="none" w:sz="0" w:space="0" w:color="auto"/>
      </w:divBdr>
    </w:div>
    <w:div w:id="942961671">
      <w:bodyDiv w:val="1"/>
      <w:marLeft w:val="0"/>
      <w:marRight w:val="0"/>
      <w:marTop w:val="0"/>
      <w:marBottom w:val="0"/>
      <w:divBdr>
        <w:top w:val="none" w:sz="0" w:space="0" w:color="auto"/>
        <w:left w:val="none" w:sz="0" w:space="0" w:color="auto"/>
        <w:bottom w:val="none" w:sz="0" w:space="0" w:color="auto"/>
        <w:right w:val="none" w:sz="0" w:space="0" w:color="auto"/>
      </w:divBdr>
    </w:div>
    <w:div w:id="15303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639</Words>
  <Characters>3519</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Pétrin</dc:creator>
  <cp:keywords/>
  <dc:description/>
  <cp:lastModifiedBy>Pétrin</cp:lastModifiedBy>
  <cp:revision>7</cp:revision>
  <dcterms:created xsi:type="dcterms:W3CDTF">2012-04-17T19:39:00Z</dcterms:created>
  <dcterms:modified xsi:type="dcterms:W3CDTF">2012-04-23T17:48:00Z</dcterms:modified>
</cp:coreProperties>
</file>